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48" w:rsidRPr="00151C48" w:rsidRDefault="00151C48" w:rsidP="00151C48">
      <w:pPr>
        <w:shd w:val="clear" w:color="auto" w:fill="FFFFFF"/>
        <w:spacing w:after="330" w:line="720" w:lineRule="atLeast"/>
        <w:outlineLvl w:val="2"/>
        <w:rPr>
          <w:rFonts w:ascii="Helvetica" w:eastAsia="Times New Roman" w:hAnsi="Helvetica" w:cs="Helvetica"/>
          <w:b/>
          <w:bCs/>
          <w:color w:val="313131"/>
          <w:spacing w:val="-15"/>
          <w:sz w:val="48"/>
          <w:szCs w:val="48"/>
          <w:lang w:eastAsia="nl-NL"/>
        </w:rPr>
      </w:pPr>
      <w:r w:rsidRPr="00151C48">
        <w:rPr>
          <w:rFonts w:ascii="Helvetica" w:eastAsia="Times New Roman" w:hAnsi="Helvetica" w:cs="Helvetica"/>
          <w:b/>
          <w:bCs/>
          <w:color w:val="313131"/>
          <w:spacing w:val="-15"/>
          <w:sz w:val="48"/>
          <w:szCs w:val="48"/>
          <w:lang w:eastAsia="nl-NL"/>
        </w:rPr>
        <w:t xml:space="preserve">„Silver </w:t>
      </w:r>
      <w:proofErr w:type="spellStart"/>
      <w:r w:rsidRPr="00151C48">
        <w:rPr>
          <w:rFonts w:ascii="Helvetica" w:eastAsia="Times New Roman" w:hAnsi="Helvetica" w:cs="Helvetica"/>
          <w:b/>
          <w:bCs/>
          <w:color w:val="313131"/>
          <w:spacing w:val="-15"/>
          <w:sz w:val="48"/>
          <w:szCs w:val="48"/>
          <w:lang w:eastAsia="nl-NL"/>
        </w:rPr>
        <w:t>Bullets</w:t>
      </w:r>
      <w:proofErr w:type="spellEnd"/>
      <w:r w:rsidRPr="00151C48">
        <w:rPr>
          <w:rFonts w:ascii="Helvetica" w:eastAsia="Times New Roman" w:hAnsi="Helvetica" w:cs="Helvetica"/>
          <w:b/>
          <w:bCs/>
          <w:color w:val="313131"/>
          <w:spacing w:val="-15"/>
          <w:sz w:val="48"/>
          <w:szCs w:val="48"/>
          <w:lang w:eastAsia="nl-NL"/>
        </w:rPr>
        <w:t xml:space="preserve">“ - </w:t>
      </w:r>
      <w:proofErr w:type="spellStart"/>
      <w:r w:rsidRPr="00151C48">
        <w:rPr>
          <w:rFonts w:ascii="Helvetica" w:eastAsia="Times New Roman" w:hAnsi="Helvetica" w:cs="Helvetica"/>
          <w:b/>
          <w:bCs/>
          <w:color w:val="313131"/>
          <w:spacing w:val="-15"/>
          <w:sz w:val="48"/>
          <w:szCs w:val="48"/>
          <w:lang w:eastAsia="nl-NL"/>
        </w:rPr>
        <w:t>Bioregulatieve</w:t>
      </w:r>
      <w:proofErr w:type="spellEnd"/>
      <w:r w:rsidRPr="00151C48">
        <w:rPr>
          <w:rFonts w:ascii="Helvetica" w:eastAsia="Times New Roman" w:hAnsi="Helvetica" w:cs="Helvetica"/>
          <w:b/>
          <w:bCs/>
          <w:color w:val="313131"/>
          <w:spacing w:val="-15"/>
          <w:sz w:val="48"/>
          <w:szCs w:val="48"/>
          <w:lang w:eastAsia="nl-NL"/>
        </w:rPr>
        <w:t xml:space="preserve"> geneeskunde in de osteopathie.</w:t>
      </w:r>
    </w:p>
    <w:p w:rsidR="00151C48" w:rsidRPr="00151C48" w:rsidRDefault="00151C48" w:rsidP="00151C4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13131"/>
          <w:sz w:val="24"/>
          <w:szCs w:val="24"/>
          <w:lang w:eastAsia="nl-NL"/>
        </w:rPr>
      </w:pP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Het begrip „Silver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Bullet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“ is een metafoor voor (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)handelingen die hun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effektiviteit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bij het oplossen van problemen bewezen hebben. Als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osteopaten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worden we meer en meer met chronisch,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therapie-resistente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klachten geconfronteerd. Deze patiënten vertonen meestal geen echte „laesie“ meer, maar een tekort aan gezondheid, een tekort aan harmonie of anders gezegd,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bioregulative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blokkaden. De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zelfgenezende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capaciteiten zijn gestoord.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 xml:space="preserve">Doel van de therapie: de patiënt opnieuw de mogelijkheden bieden, op alle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niveau’s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bioregulatief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te zijn.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 xml:space="preserve">De cursus is volledig vernieuwd waardoor nog meer praktische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behandelings-mogelijkheden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aan bot komen als bij de voorgaande cursus. We kunnen eigenlijk spreken van „Silver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Bullets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Reloaded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“</w:t>
      </w:r>
    </w:p>
    <w:p w:rsidR="00151C48" w:rsidRPr="00151C48" w:rsidRDefault="00151C48" w:rsidP="00151C48">
      <w:pPr>
        <w:shd w:val="clear" w:color="auto" w:fill="FFFFFF"/>
        <w:spacing w:after="150" w:line="420" w:lineRule="atLeast"/>
        <w:rPr>
          <w:rFonts w:ascii="Helvetica" w:eastAsia="Times New Roman" w:hAnsi="Helvetica" w:cs="Helvetica"/>
          <w:color w:val="313131"/>
          <w:sz w:val="24"/>
          <w:szCs w:val="24"/>
          <w:lang w:eastAsia="nl-NL"/>
        </w:rPr>
      </w:pPr>
      <w:r w:rsidRPr="00151C48">
        <w:rPr>
          <w:rFonts w:ascii="Helvetica" w:eastAsia="Times New Roman" w:hAnsi="Helvetica" w:cs="Helvetica"/>
          <w:color w:val="313131"/>
          <w:sz w:val="24"/>
          <w:szCs w:val="24"/>
          <w:lang w:eastAsia="nl-NL"/>
        </w:rPr>
        <w:pict>
          <v:rect id="_x0000_i1025" style="width:795pt;height:0" o:hrpct="0" o:hralign="center" o:hrstd="t" o:hr="t" fillcolor="#a0a0a0" stroked="f"/>
        </w:pict>
      </w:r>
    </w:p>
    <w:p w:rsidR="00151C48" w:rsidRPr="00151C48" w:rsidRDefault="00151C48" w:rsidP="00151C48">
      <w:pPr>
        <w:shd w:val="clear" w:color="auto" w:fill="FFFFFF"/>
        <w:spacing w:after="100" w:afterAutospacing="1" w:line="420" w:lineRule="atLeast"/>
        <w:rPr>
          <w:rFonts w:ascii="Helvetica" w:eastAsia="Times New Roman" w:hAnsi="Helvetica" w:cs="Helvetica"/>
          <w:color w:val="313131"/>
          <w:sz w:val="24"/>
          <w:szCs w:val="24"/>
          <w:lang w:eastAsia="nl-NL"/>
        </w:rPr>
      </w:pPr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 xml:space="preserve">Silver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>Bullets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 xml:space="preserve"> 1: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>Faktoren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 xml:space="preserve"> die noodwendig zijn dat genezing überhaupt weer kan plaatsvinden en de verschillende niveaus van genezing.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Thema‘s: Genetica betreft ons allen. Genen zijn geen lotsbestemming, maar een mogelijkheid voor een uitgebalanceerd leven.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Welke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faktoren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zijn een conditio sine qua non voor genezing?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 xml:space="preserve">Welke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konsequenties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kunnen daaruit getrokken worden voor de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osteopathische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praktijk?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>Om goede behandelingsresultaten te hebben is het essentieel, in staat te zijn om het gezondheidsprobleem van de patiënt en zijn regulatieblokkaden met elkaar in relatie te brengen.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>Therapie: Verklaring en de omzetting in de praktijk van een basis testmodel. Traumatherapie of zogenaamde RST (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Recall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Shock Therapie): een patiënt na een trauma zijn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genezingschancen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terug geven. Gebaseerd op meerdere onderzoekers en behandelaars zoals o.a. Dr.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R.Callahan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. Neurologische tremor uitlokken als traumatherapie.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lastRenderedPageBreak/>
        <w:t xml:space="preserve">Silver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>Bullets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 xml:space="preserve"> 2: Het mesenchym „wassen“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Thema‘s: Het grondsysteem of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basisbioregulatiesysteem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: wat bepaalt de kwaliteit, dynamiek en flow van de matrix. De principes van dynamiek en de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bioelektronika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van het zuur-basen evenwicht. Strategieën om het immuunsysteem op te bouwen.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 xml:space="preserve">Therapie: hoe „wassen“ we het grondsysteem van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Pischinger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?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Testprotokollen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voor metabolische en zuur-basen starheid. Concept voor de behandeling van het lymfatische systeem. Therapie bij belastingen van de matrix met afvalstoffen. Nutritionele therapie bij zuur-basen en metabolische ontsporingen.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Histaminose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en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gliadinose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. Patiënten begeleiden bij bepaalde voedingskuren.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br/>
        <w:t xml:space="preserve">Silver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>Bullets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 xml:space="preserve"> 3: Stress en het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>neurovegetativum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 xml:space="preserve">Thema‘s: Wat betekent permanente psychologische stress voor het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neurovegetativum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? De rol van het pericard. Stress en hormonale stoornissen. Ontsporingen van zelfgevoelens. Wat kan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achtzaam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zijn, voor de gezondheid van de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patient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en voor de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fokus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van de therapeut betekenen? Polyneuropathieën en zijn dikwijls gemaskeerde symptomatologie. De neurofysiologie van gelukkig zijn.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 xml:space="preserve">Therapie: Mind-body geneeskunde. Hoe wordt ik gelukkig en wat betekent dit voor mezelf en voor mijn werk; mijn patiënten? Testprocedure en therapie van ontsporingen van de stress-as en zelfgevoelens. Behandeling van o.a.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stressas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en het pericard. Informatieve geneeskunde en exchange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forces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. Holdingtechnieken en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mindfulness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.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 xml:space="preserve">Silver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>Bullets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 xml:space="preserve"> 4: Hormonale ontsporingen en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t>salutogenese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u w:val="single"/>
          <w:lang w:eastAsia="nl-NL"/>
        </w:rPr>
        <w:br/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Thema‘s: Hormoonresistentie en het hormonale evenwicht. De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corticotropine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as en de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thyreotropine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as. Insulineresistentie. Hormonale stoornissen: oestrogeen dominant syndroom, androgeen dominant syndroom, PMS, Infertiliteit,..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Salutogenese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en coherentie.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 xml:space="preserve">Hoe beschermt men zijn gezondheid en worden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rezidieven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voorkomen? Hoe kan er voor gezorgd worden dat dynamiek en flow dominant blijven </w:t>
      </w:r>
      <w:proofErr w:type="spellStart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>tov</w:t>
      </w:r>
      <w:proofErr w:type="spellEnd"/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t xml:space="preserve"> starheid en ontsporing? </w:t>
      </w:r>
      <w:r w:rsidRPr="00151C48">
        <w:rPr>
          <w:rFonts w:ascii="HelveticaNeue" w:eastAsia="Times New Roman" w:hAnsi="HelveticaNeue" w:cs="Helvetica"/>
          <w:color w:val="313131"/>
          <w:sz w:val="24"/>
          <w:szCs w:val="24"/>
          <w:lang w:eastAsia="nl-NL"/>
        </w:rPr>
        <w:br/>
        <w:t>Therapie: Test en Behandelingsstrategieën van de hierboven genoemde thema’s.</w:t>
      </w:r>
      <w:bookmarkStart w:id="0" w:name="_GoBack"/>
      <w:bookmarkEnd w:id="0"/>
    </w:p>
    <w:sectPr w:rsidR="00151C48" w:rsidRPr="0015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8"/>
    <w:rsid w:val="00151C48"/>
    <w:rsid w:val="002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5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51C4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151C48"/>
  </w:style>
  <w:style w:type="paragraph" w:styleId="Normaalweb">
    <w:name w:val="Normal (Web)"/>
    <w:basedOn w:val="Standaard"/>
    <w:uiPriority w:val="99"/>
    <w:semiHidden/>
    <w:unhideWhenUsed/>
    <w:rsid w:val="0015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51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5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51C4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151C48"/>
  </w:style>
  <w:style w:type="paragraph" w:styleId="Normaalweb">
    <w:name w:val="Normal (Web)"/>
    <w:basedOn w:val="Standaard"/>
    <w:uiPriority w:val="99"/>
    <w:semiHidden/>
    <w:unhideWhenUsed/>
    <w:rsid w:val="0015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5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3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2016-04-11T09:38:00Z</dcterms:created>
  <dcterms:modified xsi:type="dcterms:W3CDTF">2016-04-11T09:38:00Z</dcterms:modified>
</cp:coreProperties>
</file>